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200"/>
        <w:jc w:val="center"/>
      </w:pPr>
      <w:r>
        <w:rPr>
          <w:b/>
          <w:bCs/>
          <w:color w:val="1F3864"/>
          <w:sz w:val="56"/>
          <w:szCs w:val="56"/>
        </w:rPr>
        <w:t xml:space="preserve">xTend Prosthetics</w:t>
      </w:r>
    </w:p>
    <w:p>
      <w:pPr>
        <w:spacing w:after="200"/>
        <w:jc w:val="center"/>
      </w:pPr>
      <w:r>
        <w:rPr>
          <w:b/>
          <w:bCs/>
          <w:color w:val="2E7D7A"/>
          <w:sz w:val="28"/>
          <w:szCs w:val="28"/>
        </w:rPr>
        <w:t xml:space="preserve">Funder Pitch Memo  |  May 2026</w:t>
      </w:r>
    </w:p>
    <w:p>
      <w:pPr>
        <w:spacing w:after="200"/>
        <w:jc w:val="center"/>
      </w:pPr>
      <w:r>
        <w:rPr>
          <w:i/>
          <w:iCs/>
          <w:sz w:val="22"/>
          <w:szCs w:val="22"/>
        </w:rPr>
        <w:t xml:space="preserve">One-page summary for prospective funders</w:t>
      </w:r>
    </w:p>
    <w:p>
      <w:pPr>
        <w:pStyle w:val="Heading2"/>
      </w:pPr>
      <w:r>
        <w:rPr>
          <w:b/>
          <w:bCs/>
          <w:color w:val="2E7D7A"/>
        </w:rPr>
        <w:t xml:space="preserve">What we do</w:t>
      </w:r>
    </w:p>
    <w:p>
      <w:pPr>
        <w:spacing w:after="120"/>
      </w:pPr>
      <w:r>
        <w:rPr>
          <w:sz w:val="22"/>
          <w:szCs w:val="22"/>
        </w:rPr>
        <w:t xml:space="preserve">xTend designs, 3D-prints, and delivers prosthetic arms to amputees in under-served regions. Founded in August 2023, the charity has delivered its first arm to a double amputee in Ksar el Kebir, Morocco within six months of founding, and operates in partnership with the Gambian Paralympic Team. Pre-seed funding has been secured from a Fortune-100 executive.</w:t>
      </w:r>
    </w:p>
    <w:p>
      <w:pPr>
        <w:pStyle w:val="Heading2"/>
      </w:pPr>
      <w:r>
        <w:rPr>
          <w:b/>
          <w:bCs/>
          <w:color w:val="2E7D7A"/>
        </w:rPr>
        <w:t xml:space="preserve">Unit economics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500"/>
        <w:gridCol w:w="1500"/>
        <w:gridCol w:w="1860"/>
      </w:tblGrid>
      <w:tr>
        <w:tc>
          <w:tcPr>
            <w:tcW w:type="dxa" w:w="4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Basic arm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Bionic arm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NHS comparator</w:t>
            </w:r>
          </w:p>
        </w:tc>
      </w:tr>
      <w:tr>
        <w:tc>
          <w:tcPr>
            <w:tcW w:type="dxa" w:w="4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Materials and delivery per arm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£91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£158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~£2,600</w:t>
            </w:r>
          </w:p>
        </w:tc>
      </w:tr>
      <w:tr>
        <w:tc>
          <w:tcPr>
            <w:tcW w:type="dxa" w:w="4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Multiple cheaper than NHS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28.6×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16.5×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4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Phase 1 equipment investment (one-time)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£1,046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—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4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Capacity build to scale (one-time)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£3,378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—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—</w:t>
            </w:r>
          </w:p>
        </w:tc>
      </w:tr>
    </w:tbl>
    <w:p>
      <w:pPr>
        <w:pStyle w:val="Heading2"/>
      </w:pPr>
      <w:r>
        <w:rPr>
          <w:b/>
          <w:bCs/>
          <w:color w:val="2E7D7A"/>
        </w:rPr>
        <w:t xml:space="preserve">What your grant could buy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60"/>
        <w:gridCol w:w="1500"/>
        <w:gridCol w:w="1500"/>
        <w:gridCol w:w="2000"/>
      </w:tblGrid>
      <w:t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Grant size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Basic arms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Bionic arms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Phase 1 setup covered?</w:t>
            </w:r>
          </w:p>
        </w:tc>
      </w:tr>
      <w:t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£1,500 (e.g. Ann Rylands)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Partial</w:t>
            </w:r>
          </w:p>
        </w:tc>
      </w:tr>
      <w:t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£5,000 (e.g. February Foundation, Grocers, Westham House)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54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31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Yes</w:t>
            </w:r>
          </w:p>
        </w:tc>
      </w:tr>
      <w:t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£9,000 (e.g. Bailey Thomas)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98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56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Yes</w:t>
            </w:r>
          </w:p>
        </w:tc>
      </w:tr>
      <w:t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£10,000 (e.g. Anton Jurgens)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109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63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4F6F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Yes</w:t>
            </w:r>
          </w:p>
        </w:tc>
      </w:tr>
      <w:t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£25,000 (e.g. Wolfson)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274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158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Yes — plus capacity build</w:t>
            </w:r>
          </w:p>
        </w:tc>
      </w:tr>
    </w:tbl>
    <w:p>
      <w:pPr>
        <w:pStyle w:val="Heading2"/>
      </w:pPr>
      <w:r>
        <w:rPr>
          <w:b/>
          <w:bCs/>
          <w:color w:val="2E7D7A"/>
        </w:rPr>
        <w:t xml:space="preserve">The ask</w:t>
      </w:r>
    </w:p>
    <w:p>
      <w:pPr>
        <w:spacing w:after="120"/>
      </w:pPr>
      <w:r>
        <w:rPr>
          <w:sz w:val="22"/>
          <w:szCs w:val="22"/>
        </w:rPr>
        <w:t xml:space="preserve">We welcome project-restricted grants for specific delivery cohorts (Morocco, The Gambia), unrestricted multi-year support, in-kind partnerships (filament, components, design tools), and pro-bono professional services (legal, accounting, charity-registration support).</w:t>
      </w:r>
    </w:p>
    <w:p>
      <w:pPr>
        <w:spacing w:after="120"/>
      </w:pPr>
      <w:r>
        <w:rPr>
          <w:sz w:val="22"/>
          <w:szCs w:val="22"/>
        </w:rPr>
        <w:t xml:space="preserve">At £91 per basic arm and £158 per bionic arm, even modest grants translate into measurable delivery. A single £25,000 grant could fund a full capacity build plus 270+ basic arms — at a fully-loaded cost a small fraction of what comparable NHS provision would cost.</w:t>
      </w:r>
    </w:p>
    <w:p>
      <w:pPr>
        <w:pStyle w:val="Heading2"/>
      </w:pPr>
      <w:r>
        <w:rPr>
          <w:b/>
          <w:bCs/>
          <w:color w:val="2E7D7A"/>
        </w:rPr>
        <w:t xml:space="preserve">Diligence pack available on request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Cost &amp; Unit Economics workbook (source-traced)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Grant Pipeline workbook (14 funders, status, owners)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Funding Plan Scenarios (delivery × cost × NHS-savings)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Impact Measurement Framework (per our published methodology)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Trustees Planning Pack</w:t>
      </w:r>
    </w:p>
    <w:p>
      <w:pPr>
        <w:pStyle w:val="Heading2"/>
      </w:pPr>
      <w:r>
        <w:rPr>
          <w:b/>
          <w:bCs/>
          <w:color w:val="2E7D7A"/>
        </w:rPr>
        <w:t xml:space="preserve">Note to funders</w:t>
      </w:r>
    </w:p>
    <w:p>
      <w:pPr>
        <w:spacing w:after="120"/>
      </w:pPr>
      <w:r>
        <w:rPr>
          <w:sz w:val="22"/>
          <w:szCs w:val="22"/>
        </w:rPr>
        <w:t xml:space="preserve">xTend's charitable structure and registration status are being formalised in the period covered by this memo. Some funders require registered-charity status — we will be transparent about timing during early conversations and can suggest interim routes (fiscal sponsorship, project-restricted gifts) where useful.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xTend Prosthetics  |  Funder Memo  |  Page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Calibri" w:cs="Calibri" w:eastAsia="Calibri" w:hAnsi="Calibri"/>
      <w:b/>
      <w:bCs/>
      <w:color w:val="2E7D7A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2026-05-16T16:41:03.664Z</dcterms:created>
  <dcterms:modified xsi:type="dcterms:W3CDTF">2026-05-16T16:41:03.664Z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